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6E" w:rsidRPr="0045125D" w:rsidRDefault="0045125D" w:rsidP="0045125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</w:rPr>
        <w:t>College of Pharmacy</w:t>
      </w:r>
    </w:p>
    <w:p w:rsidR="00E0566E" w:rsidRPr="0045125D" w:rsidRDefault="0045125D" w:rsidP="0045125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               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:rsidR="00E0566E" w:rsidRPr="00D00A01" w:rsidRDefault="0045125D" w:rsidP="00D00A01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 xml:space="preserve">               </w:t>
      </w:r>
      <w:r w:rsidR="00D00A01" w:rsidRPr="00D00A01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Gastrointestinal </w:t>
      </w:r>
      <w:r w:rsidR="00E0566E" w:rsidRPr="00D00A01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disorders</w:t>
      </w:r>
    </w:p>
    <w:p w:rsidR="00D00A01" w:rsidRPr="00D00A01" w:rsidRDefault="00D00A01" w:rsidP="00D00A0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 xml:space="preserve">              </w:t>
      </w:r>
      <w:r w:rsidRPr="00D00A01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>Peptic Ulcer Disease</w:t>
      </w:r>
    </w:p>
    <w:p w:rsidR="0045125D" w:rsidRPr="000746CE" w:rsidRDefault="0045125D" w:rsidP="00AD49DB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Introduction </w:t>
      </w:r>
    </w:p>
    <w:p w:rsidR="00D00A01" w:rsidRPr="00D9741A" w:rsidRDefault="00D00A01" w:rsidP="00D00A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Peptic ulcer disease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(PUD) refers to </w:t>
      </w:r>
      <w:r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ulcerative disorders of the upper gastrointestinal (GI) tract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that </w:t>
      </w:r>
      <w:r w:rsidRPr="00D9741A">
        <w:rPr>
          <w:rFonts w:asciiTheme="majorBidi" w:hAnsiTheme="majorBidi" w:cstheme="majorBidi"/>
          <w:b/>
          <w:bCs/>
          <w:color w:val="333333"/>
          <w:sz w:val="28"/>
          <w:szCs w:val="28"/>
        </w:rPr>
        <w:t>require acid and pepsin for their formation.</w:t>
      </w:r>
    </w:p>
    <w:p w:rsidR="00D00A01" w:rsidRPr="00D9741A" w:rsidRDefault="00D00A01" w:rsidP="00D00A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D00A01" w:rsidRPr="00D00A01" w:rsidRDefault="00D00A01" w:rsidP="00D00A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three common etiologies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include (1) </w:t>
      </w:r>
      <w:r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Helicobacter pylori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infection, (2) nonsteroidal anti-inflammatory drug (</w:t>
      </w:r>
      <w:r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NSAID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) use, and (3) </w:t>
      </w:r>
      <w:r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stress-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>related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>mucosal damage (SRMD).</w:t>
      </w:r>
    </w:p>
    <w:p w:rsidR="00D00A01" w:rsidRPr="0057485F" w:rsidRDefault="00D00A01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0746CE" w:rsidP="00AD49DB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Pathophysiology   </w:t>
      </w:r>
    </w:p>
    <w:p w:rsidR="00D00A01" w:rsidRDefault="00D00A01" w:rsidP="00AA02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Most </w:t>
      </w:r>
      <w:r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duodenal ulcers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occur </w:t>
      </w:r>
      <w:r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in the first part of the duodenum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(duodenal bulb).</w:t>
      </w:r>
    </w:p>
    <w:p w:rsidR="00D00A01" w:rsidRPr="0057485F" w:rsidRDefault="00D00A01" w:rsidP="00D00A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2001A" w:rsidRPr="00C56E94" w:rsidRDefault="00D00A01" w:rsidP="00AA02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Pathophysiology is determined by </w:t>
      </w:r>
      <w:r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the balance between aggressive factors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(gastric acid and pepsin) and </w:t>
      </w:r>
      <w:r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protective factors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C21D72" w:rsidRPr="00AA02F7">
        <w:rPr>
          <w:rFonts w:asciiTheme="majorBidi" w:hAnsiTheme="majorBidi" w:cstheme="majorBidi"/>
          <w:color w:val="333333"/>
          <w:sz w:val="28"/>
          <w:szCs w:val="28"/>
        </w:rPr>
        <w:t>Mucus and bicarbonate secretion, mucosal blood flow normally</w:t>
      </w:r>
      <w:r w:rsidRPr="00AA02F7">
        <w:rPr>
          <w:rFonts w:asciiTheme="majorBidi" w:hAnsiTheme="majorBidi" w:cstheme="majorBidi"/>
          <w:color w:val="333333"/>
          <w:sz w:val="28"/>
          <w:szCs w:val="28"/>
        </w:rPr>
        <w:t>).</w:t>
      </w:r>
      <w:r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</w:p>
    <w:p w:rsidR="0002001A" w:rsidRPr="0057485F" w:rsidRDefault="0002001A" w:rsidP="00020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00A01" w:rsidRDefault="0002001A" w:rsidP="00020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Increased acid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secretion may be involved in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duodenal ulcers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, but patients with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gastric ulcers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usually have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normal or reduced acid secretion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hypochlorhydria</w:t>
      </w:r>
      <w:proofErr w:type="spellEnd"/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).</w:t>
      </w:r>
    </w:p>
    <w:p w:rsidR="0002001A" w:rsidRPr="0057485F" w:rsidRDefault="0002001A" w:rsidP="00020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2001A" w:rsidRDefault="00AA02F7" w:rsidP="00020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C56E94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Nonselective NSAIDs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(including aspirin) cause gastric mucosal damage by two mechanisms: (1)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direct or topical irritation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of the gastric epithelium,</w:t>
      </w:r>
      <w:r w:rsidR="0002001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and (2)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systemic inhibition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of endogenous mucosal PG synthesis (the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primary mechanism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). </w:t>
      </w:r>
    </w:p>
    <w:p w:rsidR="0002001A" w:rsidRPr="0057485F" w:rsidRDefault="0002001A" w:rsidP="00020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00A01" w:rsidRPr="00D00A01" w:rsidRDefault="00AA02F7" w:rsidP="00020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COX-2 selective inhibitors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have a lower risk of ulcers</w:t>
      </w:r>
      <w:r w:rsidR="0002001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and related GI complications than nonselective NSAIDs.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Addition of aspirin to a selective COX-2 inhibitor reduces its ulcer-sparing benefit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and</w:t>
      </w:r>
      <w:r w:rsidR="0002001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increases ulcer risk.</w:t>
      </w:r>
    </w:p>
    <w:p w:rsidR="0002001A" w:rsidRPr="0057485F" w:rsidRDefault="0002001A" w:rsidP="00D00A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00A01" w:rsidRDefault="00AA02F7" w:rsidP="00020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Use of corticosteroids alone does not increase risk of ulcer or complications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, but ulcer risk is doubled in corticosteroid users taking NSAIDs</w:t>
      </w:r>
      <w:r w:rsidR="0002001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concurrently.</w:t>
      </w:r>
    </w:p>
    <w:p w:rsidR="00C56E94" w:rsidRPr="0057485F" w:rsidRDefault="00C56E94" w:rsidP="00C56E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00A01" w:rsidRPr="00D00A01" w:rsidRDefault="00AA02F7" w:rsidP="00D00A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Cigarette smoking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has been linked to PUD, impaired ulcer healing, and ulcer recurrence. Risk is proportional to amount smoked per day.</w:t>
      </w:r>
    </w:p>
    <w:p w:rsidR="0002001A" w:rsidRPr="0057485F" w:rsidRDefault="0002001A" w:rsidP="00D00A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00A01" w:rsidRPr="00D00A01" w:rsidRDefault="00AA02F7" w:rsidP="00020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Psychological stress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has not been shown to cause PUD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, but ulcer patients may be adversely affected by stressful life events.</w:t>
      </w:r>
    </w:p>
    <w:p w:rsidR="0002001A" w:rsidRPr="0057485F" w:rsidRDefault="0002001A" w:rsidP="00D00A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746CE" w:rsidRPr="00D00A01" w:rsidRDefault="00AA02F7" w:rsidP="00020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</w:t>
      </w:r>
      <w:r w:rsid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Carbonated beverages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coffee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tea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beer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milk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and spices may cause dyspepsia but do not appear to increase PUD risk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. Ethanol ingestion in high</w:t>
      </w:r>
      <w:r w:rsidR="0002001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concentrations is associated with acute gastric mucosal damage and upper GI bleeding but is not clearly the cause of ulcers.</w:t>
      </w:r>
    </w:p>
    <w:p w:rsidR="0002001A" w:rsidRPr="0057485F" w:rsidRDefault="0002001A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0746CE" w:rsidP="00AD49DB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Clinical  presentation</w:t>
      </w:r>
    </w:p>
    <w:p w:rsidR="0002001A" w:rsidRDefault="00C56E94" w:rsidP="00020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C56E94">
        <w:rPr>
          <w:rFonts w:asciiTheme="majorBidi" w:hAnsiTheme="majorBidi" w:cstheme="majorBidi"/>
          <w:color w:val="333333"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Abdominal pain is the most frequent PUD symptom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. Pain is often epigastric and described as burning but can present as vague discomfort,</w:t>
      </w:r>
      <w:r w:rsidR="0002001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abdominal fullness, or cramping. </w:t>
      </w:r>
    </w:p>
    <w:p w:rsidR="0002001A" w:rsidRPr="0057485F" w:rsidRDefault="0002001A" w:rsidP="00020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00A01" w:rsidRPr="00D00A01" w:rsidRDefault="00C56E94" w:rsidP="00020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C56E94">
        <w:rPr>
          <w:rFonts w:asciiTheme="majorBidi" w:hAnsiTheme="majorBidi" w:cstheme="majorBidi"/>
          <w:color w:val="333333"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Nocturnal pain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may awaken patients from sleep, especially between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12 AM and 3 AM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02001A" w:rsidRPr="0057485F" w:rsidRDefault="0002001A" w:rsidP="00D00A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746CE" w:rsidRDefault="00C56E94" w:rsidP="00020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3-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Pain from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duodenal ulcers often occurs 1</w:t>
      </w:r>
      <w:r w:rsidR="00D00A01" w:rsidRPr="00C56E94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3 hours after meals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and is usually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relieved by food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, whereas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food may precipitate or accentuate ulcer</w:t>
      </w:r>
      <w:r w:rsidR="0002001A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pain in gastric ulcers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. Antacids provide rapid pain relief in most ulcer patients.</w:t>
      </w:r>
    </w:p>
    <w:p w:rsidR="00D00A01" w:rsidRPr="0057485F" w:rsidRDefault="00D00A01" w:rsidP="00D00A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00A01" w:rsidRDefault="00AA02F7" w:rsidP="00020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4</w:t>
      </w:r>
      <w:r w:rsid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Presence or absence of epigastric pain does not define an ulcer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, and ulcer healing does not necessarily render the patient asymptomatic.</w:t>
      </w:r>
      <w:r w:rsidR="0002001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Conversely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absence of pain does not preclude an ulcer diagnosis,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especially in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older persons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, who may present with a </w:t>
      </w:r>
      <w:r w:rsidR="00D00A01" w:rsidRPr="00D00A01">
        <w:rPr>
          <w:rFonts w:asciiTheme="majorBidi" w:hAnsiTheme="majorBidi" w:cstheme="majorBidi" w:hint="cs"/>
          <w:color w:val="333333"/>
          <w:sz w:val="28"/>
          <w:szCs w:val="28"/>
        </w:rPr>
        <w:t>“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silent</w:t>
      </w:r>
      <w:r w:rsidR="00D00A01" w:rsidRPr="00D00A01">
        <w:rPr>
          <w:rFonts w:asciiTheme="majorBidi" w:hAnsiTheme="majorBidi" w:cstheme="majorBidi" w:hint="cs"/>
          <w:color w:val="333333"/>
          <w:sz w:val="28"/>
          <w:szCs w:val="28"/>
        </w:rPr>
        <w:t>”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ulcer complication.</w:t>
      </w:r>
    </w:p>
    <w:p w:rsidR="0002001A" w:rsidRPr="0057485F" w:rsidRDefault="0002001A" w:rsidP="00020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2001A" w:rsidRPr="00C56E94" w:rsidRDefault="00AA02F7" w:rsidP="00020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C56E94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Ulcer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complications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include upper GI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bleeding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perforation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into the peritoneal cavity, penetration into an adjacent structure (</w:t>
      </w:r>
      <w:proofErr w:type="spellStart"/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, pancreas, biliary</w:t>
      </w:r>
      <w:r w:rsidR="0002001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tract, or liver), and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gastric outlet obstruction. </w:t>
      </w:r>
    </w:p>
    <w:p w:rsidR="0002001A" w:rsidRPr="0057485F" w:rsidRDefault="0002001A" w:rsidP="00020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2001A" w:rsidRDefault="00AA02F7" w:rsidP="00C56E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C56E94" w:rsidRPr="00C56E94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Bleeding may be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occult or present as melena or hematemesis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Perforation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is associated with sudden,</w:t>
      </w:r>
      <w:r w:rsidR="0002001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sharp, severe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pain</w:t>
      </w:r>
      <w:r w:rsidR="00C56E94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02001A" w:rsidRPr="0057485F" w:rsidRDefault="0002001A" w:rsidP="00020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00A01" w:rsidRPr="00D00A01" w:rsidRDefault="00AA02F7" w:rsidP="00020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C56E94" w:rsidRPr="00C56E94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Symptoms of gastric outlet obstruction</w:t>
      </w:r>
      <w:r w:rsidR="0002001A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typically occur over several months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and include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early satiety, bloating, anorexia, nausea, vomiting, and weight loss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D00A01" w:rsidRPr="0057485F" w:rsidRDefault="00D00A01" w:rsidP="00D00A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0746CE" w:rsidP="00AD49DB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Diagnosis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:rsidR="00D00A01" w:rsidRDefault="00D00A01" w:rsidP="00D00A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00A01" w:rsidRPr="00D00A01" w:rsidRDefault="00AA02F7" w:rsidP="00F411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1</w:t>
      </w:r>
      <w:r w:rsid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Routine blood tests are not helpful in establishing a diagnosis of PUD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. Hematocrit, hemoglobin, and stool guaiac tests are used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to detect bleeding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F41171" w:rsidRPr="0057485F" w:rsidRDefault="00F41171" w:rsidP="00D00A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00A01" w:rsidRDefault="00AA02F7" w:rsidP="00B268B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Diagnosis of PUD depends on visualizing the ulcer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crater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; upper GI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endoscopy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has replaced radiography as the procedure of choice because it</w:t>
      </w:r>
      <w:r w:rsidR="00F4117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provides a more accurate diagnosis and permits direct visualization of the ulcer</w:t>
      </w:r>
      <w:r w:rsidR="00B268BE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F41171" w:rsidRPr="0057485F" w:rsidRDefault="00F41171" w:rsidP="00F411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41171" w:rsidRDefault="00AA02F7" w:rsidP="00F411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57485F" w:rsidRPr="0057485F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Diagnosis of H. pylori infection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can be made using </w:t>
      </w:r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endoscopic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or </w:t>
      </w:r>
      <w:proofErr w:type="spellStart"/>
      <w:r w:rsidR="00D00A01" w:rsidRPr="00C56E94">
        <w:rPr>
          <w:rFonts w:asciiTheme="majorBidi" w:hAnsiTheme="majorBidi" w:cstheme="majorBidi"/>
          <w:b/>
          <w:bCs/>
          <w:color w:val="333333"/>
          <w:sz w:val="28"/>
          <w:szCs w:val="28"/>
        </w:rPr>
        <w:t>nonendoscopic</w:t>
      </w:r>
      <w:proofErr w:type="spellEnd"/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(urea breath test [UBT], serologic antibody detection, and fecal</w:t>
      </w:r>
      <w:r w:rsidR="00F4117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antigen) tests. </w:t>
      </w:r>
    </w:p>
    <w:p w:rsidR="00F41171" w:rsidRPr="0057485F" w:rsidRDefault="00F41171" w:rsidP="00F411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00A01" w:rsidRPr="00D00A01" w:rsidRDefault="00AA02F7" w:rsidP="00F411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57485F" w:rsidRPr="0057485F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00A0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>Endoscopic biopsy-based tests, UBT, and fecal antigen tests are the recommended tests to verify H.</w:t>
      </w:r>
      <w:r w:rsidR="00F4117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00A0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>pylori eradication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but must be delayed until at least </w:t>
      </w:r>
      <w:r w:rsidR="00D00A0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>4 weeks after completion of antibiotic treatment and after proton pump inhibitor (PPI)</w:t>
      </w:r>
      <w:r w:rsidR="00F4117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00A0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>therapy has been discontinued for 2 weeks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to avoid confusing </w:t>
      </w:r>
      <w:r w:rsidR="00D00A0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>bacterial suppression with eradication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F41171" w:rsidRPr="0057485F" w:rsidRDefault="00F4117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05882" w:rsidP="00AD49DB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Treatment </w:t>
      </w:r>
    </w:p>
    <w:p w:rsidR="00F41171" w:rsidRDefault="0057485F" w:rsidP="00F411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1-</w:t>
      </w:r>
      <w:r w:rsidR="00D00A0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>Goals of Treatment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: Overall goals are to relieve ulcer pain, heal the ulcer, prevent ulcer recurrence, and reduce ulcer-related complications. </w:t>
      </w:r>
    </w:p>
    <w:p w:rsidR="00F41171" w:rsidRPr="0057485F" w:rsidRDefault="00F41171" w:rsidP="00F411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41171" w:rsidRPr="0057485F" w:rsidRDefault="0057485F" w:rsidP="00B268B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In H.</w:t>
      </w:r>
      <w:r w:rsidR="00F4117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pylori-positive patients with </w:t>
      </w:r>
      <w:r w:rsidR="00B268BE">
        <w:rPr>
          <w:rFonts w:asciiTheme="majorBidi" w:hAnsiTheme="majorBidi" w:cstheme="majorBidi"/>
          <w:color w:val="333333"/>
          <w:sz w:val="28"/>
          <w:szCs w:val="28"/>
        </w:rPr>
        <w:t xml:space="preserve">an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ulcer</w:t>
      </w:r>
      <w:r w:rsidR="00B268BE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, </w:t>
      </w:r>
      <w:r w:rsidR="00D00A0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>goals are to eradicate H.</w:t>
      </w:r>
      <w:r w:rsidR="00F4117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00A0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>pylori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D00A0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>heal the ulcer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D00A0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cure the disease with a cost-effective drug regimen. </w:t>
      </w:r>
    </w:p>
    <w:p w:rsidR="00F41171" w:rsidRPr="0057485F" w:rsidRDefault="00F41171" w:rsidP="00F411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00A01" w:rsidRPr="0057485F" w:rsidRDefault="0057485F" w:rsidP="00F411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The primary goal for a patient with an NSAID-induced ulcer is </w:t>
      </w:r>
      <w:r w:rsidR="00D00A0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>to heal</w:t>
      </w:r>
      <w:r w:rsidR="00F4117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00A0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>the ulcer as rapidly as possible.</w:t>
      </w:r>
    </w:p>
    <w:p w:rsidR="00D00A01" w:rsidRPr="0057485F" w:rsidRDefault="00D00A01" w:rsidP="00D00A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5125D" w:rsidP="00AD49DB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Nonpharmacologic Therapy</w:t>
      </w:r>
    </w:p>
    <w:p w:rsidR="00D00A01" w:rsidRDefault="0057485F" w:rsidP="00AA02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Lifestyle modifications including </w:t>
      </w:r>
      <w:r w:rsidR="00D00A0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>stress reduction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D00A0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>smoking cessation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should be implemented. </w:t>
      </w:r>
      <w:r w:rsidR="00D00A0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>NSAIDs should be avoided if possible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, and</w:t>
      </w:r>
      <w:r w:rsidR="00F4117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alternative agents such as acetaminophen</w:t>
      </w:r>
      <w:r w:rsidR="00AA02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should be used for pain relief when feasible.</w:t>
      </w:r>
    </w:p>
    <w:p w:rsidR="00F41171" w:rsidRPr="0057485F" w:rsidRDefault="00F41171" w:rsidP="00F411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00A01" w:rsidRPr="00D00A01" w:rsidRDefault="0057485F" w:rsidP="00F411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57485F">
        <w:rPr>
          <w:rFonts w:asciiTheme="majorBidi" w:hAnsiTheme="majorBidi" w:cstheme="majorBidi"/>
          <w:color w:val="333333"/>
          <w:sz w:val="28"/>
          <w:szCs w:val="28"/>
        </w:rPr>
        <w:lastRenderedPageBreak/>
        <w:t>2-</w:t>
      </w:r>
      <w:r w:rsidR="00D00A0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>There is no specific recommended diet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, but patients should avoid foods and beverages that cause dyspepsia or exacerbate ulcer symptoms (</w:t>
      </w:r>
      <w:r w:rsidR="00A7467E" w:rsidRPr="00D00A01">
        <w:rPr>
          <w:rFonts w:asciiTheme="majorBidi" w:hAnsiTheme="majorBidi" w:cstheme="majorBidi"/>
          <w:color w:val="333333"/>
          <w:sz w:val="28"/>
          <w:szCs w:val="28"/>
        </w:rPr>
        <w:t>e.g.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F4117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spicy foods, caffeine, and alcohol).</w:t>
      </w:r>
    </w:p>
    <w:p w:rsidR="00F41171" w:rsidRPr="0057485F" w:rsidRDefault="00F41171" w:rsidP="00D00A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7467E" w:rsidRPr="00A7467E" w:rsidRDefault="0057485F" w:rsidP="00A746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A02F7"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7467E" w:rsidRPr="00AA02F7">
        <w:rPr>
          <w:rFonts w:asciiTheme="majorBidi" w:hAnsiTheme="majorBidi" w:cstheme="majorBidi"/>
          <w:color w:val="333333"/>
          <w:sz w:val="28"/>
          <w:szCs w:val="28"/>
        </w:rPr>
        <w:t>Emergent surgery may be required for patients with ulcer related complications (e.g., bleeding, perforation, or obstruction).</w:t>
      </w:r>
    </w:p>
    <w:p w:rsidR="00A7467E" w:rsidRPr="00A7467E" w:rsidRDefault="00A7467E" w:rsidP="00A746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45125D" w:rsidRPr="00405882" w:rsidRDefault="0045125D" w:rsidP="00AD49DB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Pharmacologic Therapy</w:t>
      </w:r>
    </w:p>
    <w:p w:rsidR="0002001A" w:rsidRPr="0057485F" w:rsidRDefault="0002001A" w:rsidP="00020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00A01" w:rsidRDefault="0047187F" w:rsidP="008E28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268BE"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57485F" w:rsidRPr="00B268BE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8E2840" w:rsidRPr="00B268BE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Treatment of H. pylori infection</w:t>
      </w:r>
      <w:r w:rsidR="008E2840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should be</w:t>
      </w:r>
      <w:r w:rsidR="0002001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effective, well tolerated, convenient, and cost-effective. Drug regimens to eradicate H. pylori are shown </w:t>
      </w:r>
      <w:r w:rsidR="00D00A0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>in Table 1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57485F" w:rsidRPr="0057485F" w:rsidRDefault="0057485F" w:rsidP="0057485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57485F" w:rsidRPr="00D00A01" w:rsidRDefault="0047187F" w:rsidP="0057485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57485F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57485F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Clarithromycin triple therapy</w:t>
      </w:r>
      <w:r w:rsidR="0057485F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(PPI, clarithromycin, amoxicillin) </w:t>
      </w:r>
      <w:r w:rsidR="0057485F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is no longer recommended in areas where H. pylori resistance exceeds 15%.  </w:t>
      </w:r>
      <w:r w:rsidR="0057485F" w:rsidRPr="00D00A01">
        <w:rPr>
          <w:rFonts w:asciiTheme="majorBidi" w:hAnsiTheme="majorBidi" w:cstheme="majorBidi"/>
          <w:color w:val="333333"/>
          <w:sz w:val="28"/>
          <w:szCs w:val="28"/>
        </w:rPr>
        <w:t>This regimen given for 14 days remains an option in regions where clarithromycin resistance is &lt;15% and no prior</w:t>
      </w:r>
      <w:r w:rsidR="0057485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57485F" w:rsidRPr="00D00A01">
        <w:rPr>
          <w:rFonts w:asciiTheme="majorBidi" w:hAnsiTheme="majorBidi" w:cstheme="majorBidi"/>
          <w:color w:val="333333"/>
          <w:sz w:val="28"/>
          <w:szCs w:val="28"/>
        </w:rPr>
        <w:t>macrolide exposure is documented.</w:t>
      </w:r>
    </w:p>
    <w:p w:rsidR="0057485F" w:rsidRPr="0057485F" w:rsidRDefault="0057485F" w:rsidP="0057485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57485F" w:rsidRDefault="0047187F" w:rsidP="00AA02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57485F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57485F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Bismuth quadruple therapy</w:t>
      </w:r>
      <w:r w:rsidR="0057485F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(PPI or H2RA, bismuth subsalicylate, metronidazole, tetracycline) </w:t>
      </w:r>
      <w:r w:rsidR="0057485F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for 10</w:t>
      </w:r>
      <w:r w:rsidR="0057485F" w:rsidRPr="00806682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57485F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14 days </w:t>
      </w:r>
      <w:r w:rsidR="0057485F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is </w:t>
      </w:r>
      <w:r w:rsidR="0057485F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the preferred first-line therapy to eradicate H. pylori infection</w:t>
      </w:r>
      <w:r w:rsidR="0057485F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. PPIs generally produce higher H. pylori eradication rates and are preferred over H2RA. </w:t>
      </w:r>
      <w:r w:rsidR="00AA02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57485F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All medications except the PPI should be taken with meals and at bedtime</w:t>
      </w:r>
      <w:r w:rsidR="0057485F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. The PPI should </w:t>
      </w:r>
      <w:r w:rsidR="0057485F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be taken 30</w:t>
      </w:r>
      <w:r w:rsidR="0057485F" w:rsidRPr="00806682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57485F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60 minutes before a meal.</w:t>
      </w:r>
      <w:r w:rsidR="0057485F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The mean eradication rate for a 10-day course</w:t>
      </w:r>
      <w:r w:rsidR="0057485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57485F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is </w:t>
      </w:r>
      <w:r w:rsidR="0057485F" w:rsidRPr="00D00A01">
        <w:rPr>
          <w:rFonts w:asciiTheme="majorBidi" w:hAnsiTheme="majorBidi" w:cstheme="majorBidi" w:hint="eastAsia"/>
          <w:color w:val="333333"/>
          <w:sz w:val="28"/>
          <w:szCs w:val="28"/>
        </w:rPr>
        <w:t>∼</w:t>
      </w:r>
      <w:r w:rsidR="0057485F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90%, but limitations include the need for </w:t>
      </w:r>
      <w:r w:rsidR="0057485F" w:rsidRPr="0047187F">
        <w:rPr>
          <w:rFonts w:asciiTheme="majorBidi" w:hAnsiTheme="majorBidi" w:cstheme="majorBidi"/>
          <w:b/>
          <w:bCs/>
          <w:color w:val="333333"/>
          <w:sz w:val="28"/>
          <w:szCs w:val="28"/>
        </w:rPr>
        <w:t>four-times-daily therapy</w:t>
      </w:r>
      <w:r w:rsidR="0057485F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(which can impair adherence), and frequent minor side effects.</w:t>
      </w:r>
    </w:p>
    <w:p w:rsidR="00B268BE" w:rsidRPr="00B268BE" w:rsidRDefault="00B268BE" w:rsidP="000200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AA02F7" w:rsidRDefault="00AA02F7" w:rsidP="00B268B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B268BE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268BE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Non-bismuth quadruple (or </w:t>
      </w:r>
      <w:r w:rsidR="00B268BE" w:rsidRPr="00806682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“</w:t>
      </w:r>
      <w:r w:rsidR="00B268BE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concomitant</w:t>
      </w:r>
      <w:r w:rsidR="00B268BE" w:rsidRPr="00806682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”</w:t>
      </w:r>
      <w:r w:rsidR="00B268BE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) therapy</w:t>
      </w:r>
      <w:r w:rsidR="00B268BE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(PPI, clarithromycin, amoxicillin, metronidazole) </w:t>
      </w:r>
      <w:r w:rsidR="00B268BE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for 10</w:t>
      </w:r>
      <w:r w:rsidR="00B268BE" w:rsidRPr="00806682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B268BE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14 days </w:t>
      </w:r>
      <w:r w:rsidR="00B268BE" w:rsidRPr="0047187F">
        <w:rPr>
          <w:rFonts w:asciiTheme="majorBidi" w:hAnsiTheme="majorBidi" w:cstheme="majorBidi"/>
          <w:color w:val="333333"/>
          <w:sz w:val="28"/>
          <w:szCs w:val="28"/>
        </w:rPr>
        <w:t>is</w:t>
      </w:r>
      <w:r w:rsidR="00B268BE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another recommended</w:t>
      </w:r>
      <w:r w:rsidR="00B268B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268BE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first-line therapy. </w:t>
      </w:r>
      <w:r w:rsidR="00B268BE" w:rsidRPr="00D00A01">
        <w:rPr>
          <w:rFonts w:asciiTheme="majorBidi" w:hAnsiTheme="majorBidi" w:cstheme="majorBidi" w:hint="cs"/>
          <w:color w:val="333333"/>
          <w:sz w:val="28"/>
          <w:szCs w:val="28"/>
        </w:rPr>
        <w:t>“</w:t>
      </w:r>
      <w:r w:rsidR="00B268BE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Concomitant</w:t>
      </w:r>
      <w:r w:rsidR="00B268BE" w:rsidRPr="00D00A01">
        <w:rPr>
          <w:rFonts w:asciiTheme="majorBidi" w:hAnsiTheme="majorBidi" w:cstheme="majorBidi" w:hint="cs"/>
          <w:color w:val="333333"/>
          <w:sz w:val="28"/>
          <w:szCs w:val="28"/>
        </w:rPr>
        <w:t>”</w:t>
      </w:r>
      <w:r w:rsidR="00B268BE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therapy means that </w:t>
      </w:r>
      <w:r w:rsidR="00B268BE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all four drugs are given at the same time twice daily</w:t>
      </w:r>
      <w:r w:rsidR="00B268BE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for the entire duration of therapy.</w:t>
      </w:r>
    </w:p>
    <w:p w:rsidR="00AA02F7" w:rsidRDefault="00AA02F7" w:rsidP="00AA02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AA02F7" w:rsidRDefault="00AA02F7" w:rsidP="00AA02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Sequential therapy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involves a PPI plus antibiotics </w:t>
      </w:r>
      <w:r w:rsidRPr="0047187F">
        <w:rPr>
          <w:rFonts w:asciiTheme="majorBidi" w:hAnsiTheme="majorBidi" w:cstheme="majorBidi"/>
          <w:b/>
          <w:bCs/>
          <w:color w:val="333333"/>
          <w:sz w:val="28"/>
          <w:szCs w:val="28"/>
        </w:rPr>
        <w:t>given in sequence rather than together.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The rationale is to treat initially with antibiotics that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>rarely promote resistance (</w:t>
      </w:r>
      <w:proofErr w:type="spellStart"/>
      <w:r w:rsidRPr="00D00A01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, amoxicillin) to reduce bacterial load and preexisting resistant organisms and then to follow </w:t>
      </w:r>
      <w:r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different antibiotics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Pr="00D00A01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clarithromycin and metronidazole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) to kill any remaining organisms. </w:t>
      </w:r>
    </w:p>
    <w:p w:rsidR="00AA02F7" w:rsidRPr="0057485F" w:rsidRDefault="00AA02F7" w:rsidP="00AA02F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AA02F7" w:rsidRDefault="00AA02F7" w:rsidP="00AA02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Hybrid therapy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combines the strategies of concomitant and sequential therapy; it </w:t>
      </w:r>
      <w:r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involves 7 days of dual therapy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(PPI and amoxicillin) follow</w:t>
      </w:r>
      <w:r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ed by 7 days of quadruple therapy 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(PPI, amoxicillin, clarithromycin, metronidazole). </w:t>
      </w:r>
    </w:p>
    <w:p w:rsidR="00AA02F7" w:rsidRPr="0057485F" w:rsidRDefault="00AA02F7" w:rsidP="00AA02F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AA02F7" w:rsidRDefault="00AA02F7" w:rsidP="00AA02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Levofloxacin-based regimens include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(1) triple therapy with amoxicillin and a PPI, (2) modified sequential therapy with 5</w:t>
      </w:r>
      <w:r w:rsidRPr="00D00A01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>7 days of amoxicillin plus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>a PPI followed by 5</w:t>
      </w:r>
      <w:r w:rsidRPr="00D00A01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7 days of levofloxacin, and (3) </w:t>
      </w:r>
      <w:r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quadruple therapy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with levofloxacin, omeprazole or another PPI, </w:t>
      </w:r>
      <w:proofErr w:type="spellStart"/>
      <w:r w:rsidRPr="00D00A01">
        <w:rPr>
          <w:rFonts w:asciiTheme="majorBidi" w:hAnsiTheme="majorBidi" w:cstheme="majorBidi"/>
          <w:color w:val="333333"/>
          <w:sz w:val="28"/>
          <w:szCs w:val="28"/>
        </w:rPr>
        <w:t>nitazoxanide</w:t>
      </w:r>
      <w:proofErr w:type="spellEnd"/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Pr="00D00A01">
        <w:rPr>
          <w:rFonts w:asciiTheme="majorBidi" w:hAnsiTheme="majorBidi" w:cstheme="majorBidi"/>
          <w:color w:val="333333"/>
          <w:sz w:val="28"/>
          <w:szCs w:val="28"/>
        </w:rPr>
        <w:t>Alinia</w:t>
      </w:r>
      <w:proofErr w:type="spellEnd"/>
      <w:r w:rsidRPr="00D00A01">
        <w:rPr>
          <w:rFonts w:asciiTheme="majorBidi" w:hAnsiTheme="majorBidi" w:cstheme="majorBidi"/>
          <w:color w:val="333333"/>
          <w:sz w:val="28"/>
          <w:szCs w:val="28"/>
        </w:rPr>
        <w:t>), and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>doxycycline (</w:t>
      </w:r>
      <w:r w:rsidRPr="00D00A01">
        <w:rPr>
          <w:rFonts w:asciiTheme="majorBidi" w:hAnsiTheme="majorBidi" w:cstheme="majorBidi" w:hint="cs"/>
          <w:color w:val="333333"/>
          <w:sz w:val="28"/>
          <w:szCs w:val="28"/>
        </w:rPr>
        <w:t>“</w:t>
      </w:r>
      <w:r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LOAD</w:t>
      </w:r>
      <w:r w:rsidRPr="00806682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”</w:t>
      </w:r>
      <w:r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therapy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>).</w:t>
      </w:r>
    </w:p>
    <w:p w:rsidR="00AA02F7" w:rsidRDefault="00AA02F7" w:rsidP="00AA02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AA02F7" w:rsidRDefault="00AA02F7" w:rsidP="00AA02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LOAD regimen is not currently recommended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due to high cost and lack of efficacy data. In addition, concerns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>with fluoroquinolone use include development of resistance and adverse effects (</w:t>
      </w:r>
      <w:proofErr w:type="spellStart"/>
      <w:r w:rsidRPr="00D00A01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Pr="00D00A01">
        <w:rPr>
          <w:rFonts w:asciiTheme="majorBidi" w:hAnsiTheme="majorBidi" w:cstheme="majorBidi"/>
          <w:color w:val="333333"/>
          <w:sz w:val="28"/>
          <w:szCs w:val="28"/>
        </w:rPr>
        <w:t>, tendonitis, hepatotoxicity).</w:t>
      </w:r>
    </w:p>
    <w:p w:rsidR="00B268BE" w:rsidRDefault="00B268BE" w:rsidP="00B268B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AA02F7" w:rsidRDefault="00AA02F7" w:rsidP="00AA02F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02001A" w:rsidRDefault="0002001A" w:rsidP="00B268B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lastRenderedPageBreak/>
        <w:t>Table 1:</w:t>
      </w:r>
      <w:r w:rsidRPr="0002001A">
        <w:rPr>
          <w:rFonts w:asciiTheme="majorBidi" w:hAnsiTheme="majorBidi" w:cstheme="majorBidi"/>
          <w:b/>
          <w:bCs/>
          <w:color w:val="333333"/>
          <w:sz w:val="28"/>
          <w:szCs w:val="28"/>
        </w:rPr>
        <w:t>Drug Regimens Used to Eradicate Helicobacter pylori</w:t>
      </w:r>
    </w:p>
    <w:p w:rsidR="00A7467E" w:rsidRDefault="00A7467E" w:rsidP="00A7467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A7467E" w:rsidRDefault="00A7467E" w:rsidP="00A7467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40194E3D" wp14:editId="6772155B">
            <wp:extent cx="6485861" cy="4079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5861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7E" w:rsidRDefault="0040493A" w:rsidP="00A7467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2DF5F75F" wp14:editId="6EA6C743">
            <wp:extent cx="6539023" cy="4432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9023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7E" w:rsidRDefault="00A7467E" w:rsidP="00A746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</w:p>
    <w:p w:rsidR="00EC21C4" w:rsidRPr="00D00A01" w:rsidRDefault="00EC21C4" w:rsidP="00A746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F41171">
        <w:rPr>
          <w:rFonts w:asciiTheme="majorBidi" w:hAnsiTheme="majorBidi" w:cstheme="majorBidi"/>
          <w:b/>
          <w:bCs/>
          <w:color w:val="333333"/>
          <w:sz w:val="24"/>
          <w:szCs w:val="24"/>
        </w:rPr>
        <w:t>a</w:t>
      </w:r>
      <w:r w:rsidRPr="00D00A01">
        <w:rPr>
          <w:rFonts w:asciiTheme="majorBidi" w:hAnsiTheme="majorBidi" w:cstheme="majorBidi"/>
          <w:color w:val="333333"/>
          <w:sz w:val="24"/>
          <w:szCs w:val="24"/>
        </w:rPr>
        <w:t>Although</w:t>
      </w:r>
      <w:proofErr w:type="spellEnd"/>
      <w:r w:rsidRPr="00D00A01">
        <w:rPr>
          <w:rFonts w:asciiTheme="majorBidi" w:hAnsiTheme="majorBidi" w:cstheme="majorBidi"/>
          <w:color w:val="333333"/>
          <w:sz w:val="24"/>
          <w:szCs w:val="24"/>
        </w:rPr>
        <w:t xml:space="preserve"> treatment is minimally effective if used for 7 days, 10</w:t>
      </w:r>
      <w:r w:rsidRPr="00D00A01">
        <w:rPr>
          <w:rFonts w:asciiTheme="majorBidi" w:hAnsiTheme="majorBidi" w:cstheme="majorBidi" w:hint="cs"/>
          <w:color w:val="333333"/>
          <w:sz w:val="24"/>
          <w:szCs w:val="24"/>
        </w:rPr>
        <w:t>−</w:t>
      </w:r>
      <w:r w:rsidRPr="00D00A01">
        <w:rPr>
          <w:rFonts w:asciiTheme="majorBidi" w:hAnsiTheme="majorBidi" w:cstheme="majorBidi"/>
          <w:color w:val="333333"/>
          <w:sz w:val="24"/>
          <w:szCs w:val="24"/>
        </w:rPr>
        <w:t>14 days is recommended. The antisecretory drug may be continued beyond antimicrobial</w:t>
      </w:r>
      <w:r w:rsidR="00F4117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D00A01">
        <w:rPr>
          <w:rFonts w:asciiTheme="majorBidi" w:hAnsiTheme="majorBidi" w:cstheme="majorBidi"/>
          <w:color w:val="333333"/>
          <w:sz w:val="24"/>
          <w:szCs w:val="24"/>
        </w:rPr>
        <w:t>treatment for patients with a history of a complicated ulcer, for example, bleeding, or in heavy smokers.</w:t>
      </w:r>
    </w:p>
    <w:p w:rsidR="00EC21C4" w:rsidRPr="00D00A01" w:rsidRDefault="00EC21C4" w:rsidP="00EC21C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F41171">
        <w:rPr>
          <w:rFonts w:asciiTheme="majorBidi" w:hAnsiTheme="majorBidi" w:cstheme="majorBidi"/>
          <w:b/>
          <w:bCs/>
          <w:color w:val="333333"/>
          <w:sz w:val="24"/>
          <w:szCs w:val="24"/>
        </w:rPr>
        <w:t>b</w:t>
      </w:r>
      <w:r w:rsidRPr="00D00A01">
        <w:rPr>
          <w:rFonts w:asciiTheme="majorBidi" w:hAnsiTheme="majorBidi" w:cstheme="majorBidi"/>
          <w:color w:val="333333"/>
          <w:sz w:val="24"/>
          <w:szCs w:val="24"/>
        </w:rPr>
        <w:t>Standard</w:t>
      </w:r>
      <w:proofErr w:type="spellEnd"/>
      <w:r w:rsidRPr="00D00A01">
        <w:rPr>
          <w:rFonts w:asciiTheme="majorBidi" w:hAnsiTheme="majorBidi" w:cstheme="majorBidi"/>
          <w:color w:val="333333"/>
          <w:sz w:val="24"/>
          <w:szCs w:val="24"/>
        </w:rPr>
        <w:t xml:space="preserve"> PPI peptic ulcer healing dosages given once or twice daily.</w:t>
      </w:r>
    </w:p>
    <w:p w:rsidR="00EC21C4" w:rsidRPr="00D00A01" w:rsidRDefault="00EC21C4" w:rsidP="00EC21C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F41171">
        <w:rPr>
          <w:rFonts w:asciiTheme="majorBidi" w:hAnsiTheme="majorBidi" w:cstheme="majorBidi"/>
          <w:b/>
          <w:bCs/>
          <w:color w:val="333333"/>
          <w:sz w:val="24"/>
          <w:szCs w:val="24"/>
        </w:rPr>
        <w:t>c</w:t>
      </w:r>
      <w:r w:rsidRPr="00D00A01">
        <w:rPr>
          <w:rFonts w:asciiTheme="majorBidi" w:hAnsiTheme="majorBidi" w:cstheme="majorBidi"/>
          <w:color w:val="333333"/>
          <w:sz w:val="24"/>
          <w:szCs w:val="24"/>
        </w:rPr>
        <w:t>Standard</w:t>
      </w:r>
      <w:proofErr w:type="spellEnd"/>
      <w:r w:rsidRPr="00D00A01">
        <w:rPr>
          <w:rFonts w:asciiTheme="majorBidi" w:hAnsiTheme="majorBidi" w:cstheme="majorBidi"/>
          <w:color w:val="333333"/>
          <w:sz w:val="24"/>
          <w:szCs w:val="24"/>
        </w:rPr>
        <w:t xml:space="preserve"> H2RA peptic ulcer healing dosages may be used in place of a PPI.</w:t>
      </w:r>
    </w:p>
    <w:p w:rsidR="00EC21C4" w:rsidRPr="00D00A01" w:rsidRDefault="00EC21C4" w:rsidP="00F411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F41171">
        <w:rPr>
          <w:rFonts w:asciiTheme="majorBidi" w:hAnsiTheme="majorBidi" w:cstheme="majorBidi"/>
          <w:b/>
          <w:bCs/>
          <w:color w:val="333333"/>
          <w:sz w:val="24"/>
          <w:szCs w:val="24"/>
        </w:rPr>
        <w:t>d</w:t>
      </w:r>
      <w:r w:rsidRPr="00D00A01">
        <w:rPr>
          <w:rFonts w:asciiTheme="majorBidi" w:hAnsiTheme="majorBidi" w:cstheme="majorBidi"/>
          <w:color w:val="333333"/>
          <w:sz w:val="24"/>
          <w:szCs w:val="24"/>
        </w:rPr>
        <w:t>Bismuth</w:t>
      </w:r>
      <w:proofErr w:type="spellEnd"/>
      <w:r w:rsidRPr="00D00A0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D00A01">
        <w:rPr>
          <w:rFonts w:asciiTheme="majorBidi" w:hAnsiTheme="majorBidi" w:cstheme="majorBidi"/>
          <w:color w:val="333333"/>
          <w:sz w:val="24"/>
          <w:szCs w:val="24"/>
        </w:rPr>
        <w:t>subcitrate</w:t>
      </w:r>
      <w:proofErr w:type="spellEnd"/>
      <w:r w:rsidRPr="00D00A01">
        <w:rPr>
          <w:rFonts w:asciiTheme="majorBidi" w:hAnsiTheme="majorBidi" w:cstheme="majorBidi"/>
          <w:color w:val="333333"/>
          <w:sz w:val="24"/>
          <w:szCs w:val="24"/>
        </w:rPr>
        <w:t xml:space="preserve"> potassium (</w:t>
      </w:r>
      <w:proofErr w:type="spellStart"/>
      <w:r w:rsidRPr="00D00A01">
        <w:rPr>
          <w:rFonts w:asciiTheme="majorBidi" w:hAnsiTheme="majorBidi" w:cstheme="majorBidi"/>
          <w:color w:val="333333"/>
          <w:sz w:val="24"/>
          <w:szCs w:val="24"/>
        </w:rPr>
        <w:t>biskalcitrate</w:t>
      </w:r>
      <w:proofErr w:type="spellEnd"/>
      <w:r w:rsidRPr="00D00A01">
        <w:rPr>
          <w:rFonts w:asciiTheme="majorBidi" w:hAnsiTheme="majorBidi" w:cstheme="majorBidi"/>
          <w:color w:val="333333"/>
          <w:sz w:val="24"/>
          <w:szCs w:val="24"/>
        </w:rPr>
        <w:t>) 140 mg, as the bismuth salt, is contained in a prepackaged capsule (</w:t>
      </w:r>
      <w:proofErr w:type="spellStart"/>
      <w:r w:rsidRPr="00D00A01">
        <w:rPr>
          <w:rFonts w:asciiTheme="majorBidi" w:hAnsiTheme="majorBidi" w:cstheme="majorBidi"/>
          <w:color w:val="333333"/>
          <w:sz w:val="24"/>
          <w:szCs w:val="24"/>
        </w:rPr>
        <w:t>Pylera</w:t>
      </w:r>
      <w:proofErr w:type="spellEnd"/>
      <w:r w:rsidRPr="00D00A01">
        <w:rPr>
          <w:rFonts w:asciiTheme="majorBidi" w:hAnsiTheme="majorBidi" w:cstheme="majorBidi"/>
          <w:color w:val="333333"/>
          <w:sz w:val="24"/>
          <w:szCs w:val="24"/>
        </w:rPr>
        <w:t>), along with metronidazole 125 mg and</w:t>
      </w:r>
      <w:r w:rsidR="00F4117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D00A01">
        <w:rPr>
          <w:rFonts w:asciiTheme="majorBidi" w:hAnsiTheme="majorBidi" w:cstheme="majorBidi"/>
          <w:color w:val="333333"/>
          <w:sz w:val="24"/>
          <w:szCs w:val="24"/>
        </w:rPr>
        <w:t>tetracycline 125 mg; three capsules are taken with each meal and at bedtime; a standard PPI dosage is added to the regimen and taken twice daily. All medications</w:t>
      </w:r>
      <w:r w:rsidR="00F41171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D00A01">
        <w:rPr>
          <w:rFonts w:asciiTheme="majorBidi" w:hAnsiTheme="majorBidi" w:cstheme="majorBidi"/>
          <w:color w:val="333333"/>
          <w:sz w:val="24"/>
          <w:szCs w:val="24"/>
        </w:rPr>
        <w:t>are taken for 10 days.</w:t>
      </w:r>
    </w:p>
    <w:p w:rsidR="00EC21C4" w:rsidRPr="00D00A01" w:rsidRDefault="00EC21C4" w:rsidP="00EC21C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e</w:t>
      </w:r>
      <w:r w:rsid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D00A01">
        <w:rPr>
          <w:rFonts w:asciiTheme="majorBidi" w:hAnsiTheme="majorBidi" w:cstheme="majorBidi"/>
          <w:color w:val="333333"/>
          <w:sz w:val="24"/>
          <w:szCs w:val="24"/>
        </w:rPr>
        <w:t>Requires validation as first-line therapy in the United States.</w:t>
      </w:r>
    </w:p>
    <w:p w:rsidR="00EC21C4" w:rsidRPr="00D00A01" w:rsidRDefault="00EC21C4" w:rsidP="00EC21C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AA02F7">
        <w:rPr>
          <w:rFonts w:asciiTheme="majorBidi" w:hAnsiTheme="majorBidi" w:cstheme="majorBidi"/>
          <w:b/>
          <w:bCs/>
          <w:color w:val="333333"/>
          <w:sz w:val="24"/>
          <w:szCs w:val="24"/>
        </w:rPr>
        <w:t>H2RA</w:t>
      </w:r>
      <w:r w:rsidRPr="00D00A01">
        <w:rPr>
          <w:rFonts w:asciiTheme="majorBidi" w:hAnsiTheme="majorBidi" w:cstheme="majorBidi"/>
          <w:color w:val="333333"/>
          <w:sz w:val="24"/>
          <w:szCs w:val="24"/>
        </w:rPr>
        <w:t>, H2&gt;-receptor antagonist; PPI, proton pump inhibitor.</w:t>
      </w:r>
    </w:p>
    <w:p w:rsidR="00EC21C4" w:rsidRPr="0057485F" w:rsidRDefault="00EC21C4" w:rsidP="0057485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EC21C4" w:rsidRDefault="00D00A01" w:rsidP="00EC21C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D00A01" w:rsidRPr="00806682" w:rsidRDefault="00AA02F7" w:rsidP="00035E81">
      <w:pPr>
        <w:autoSpaceDE w:val="0"/>
        <w:autoSpaceDN w:val="0"/>
        <w:bidi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</w:t>
      </w:r>
      <w:r w:rsidR="0057485F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If initial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treatment fails to eradicate H. pylori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second-line (salvage) treatment should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:</w:t>
      </w:r>
      <w:r w:rsidR="00B268B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(1) use antibiotics that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were </w:t>
      </w:r>
      <w:r w:rsidR="00D62776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NOT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included in the initial</w:t>
      </w:r>
      <w:r w:rsidR="00EC21C4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regimen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, (2) be guided by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region-specific or individual antibiotic resistance testing,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and (3) use an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extended treatment duration of 10</w:t>
      </w:r>
      <w:r w:rsidR="00D00A01" w:rsidRPr="00806682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14 days.</w:t>
      </w:r>
    </w:p>
    <w:p w:rsidR="00EC21C4" w:rsidRPr="0057485F" w:rsidRDefault="00EC21C4" w:rsidP="0057485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D00A01" w:rsidRPr="00D00A01" w:rsidRDefault="0057485F" w:rsidP="00AA02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AA02F7">
        <w:rPr>
          <w:rFonts w:asciiTheme="majorBidi" w:hAnsiTheme="majorBidi" w:cstheme="majorBidi"/>
          <w:color w:val="333333"/>
          <w:sz w:val="28"/>
          <w:szCs w:val="28"/>
        </w:rPr>
        <w:t>0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Patients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failing clarithromycin triple therapy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can be treated with either bismuth quadruple therapy or the levofloxacin triple regimen for 14 days.</w:t>
      </w:r>
    </w:p>
    <w:p w:rsidR="00EC21C4" w:rsidRPr="0057485F" w:rsidRDefault="00EC21C4" w:rsidP="0057485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D00A01" w:rsidRPr="00806682" w:rsidRDefault="0057485F" w:rsidP="00AA02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AA02F7">
        <w:rPr>
          <w:rFonts w:asciiTheme="majorBidi" w:hAnsiTheme="majorBidi" w:cstheme="majorBidi"/>
          <w:color w:val="333333"/>
          <w:sz w:val="28"/>
          <w:szCs w:val="28"/>
        </w:rPr>
        <w:t>1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Other salvage regimens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may also be successful. Penicillin allergy testing is recommended for patients who report penicillin allergy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because many</w:t>
      </w:r>
      <w:r w:rsidR="00EC21C4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patients are not truly allergic.</w:t>
      </w:r>
    </w:p>
    <w:p w:rsidR="00EC21C4" w:rsidRPr="0057485F" w:rsidRDefault="00EC21C4" w:rsidP="0057485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EC21C4" w:rsidRDefault="0057485F" w:rsidP="00AA02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1</w:t>
      </w:r>
      <w:r w:rsidR="00AA02F7">
        <w:rPr>
          <w:rFonts w:asciiTheme="majorBidi" w:hAnsiTheme="majorBidi" w:cstheme="majorBidi"/>
          <w:color w:val="333333"/>
          <w:sz w:val="28"/>
          <w:szCs w:val="28"/>
        </w:rPr>
        <w:t>2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Patients with NSAID-induced ulcers should be tested to determine H. pylori status. If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they are H. pylori positive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start treatment with a</w:t>
      </w:r>
      <w:r w:rsidR="00EC21C4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recommended first-line regimen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. If patients are H. pylori </w:t>
      </w:r>
      <w:r w:rsidR="00D00A01" w:rsidRPr="00D62776">
        <w:rPr>
          <w:rFonts w:asciiTheme="majorBidi" w:hAnsiTheme="majorBidi" w:cstheme="majorBidi"/>
          <w:b/>
          <w:bCs/>
          <w:color w:val="333333"/>
          <w:sz w:val="28"/>
          <w:szCs w:val="28"/>
        </w:rPr>
        <w:t>negative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discontinue the NSAID and treat with a PPI, H2RA, or </w:t>
      </w:r>
      <w:proofErr w:type="spellStart"/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sucralfate</w:t>
      </w:r>
      <w:proofErr w:type="spellEnd"/>
      <w:r w:rsidR="00EC21C4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.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PPIs are generally preferred due to more rapid symptom relief and ulcer healing. </w:t>
      </w:r>
    </w:p>
    <w:p w:rsidR="00EC21C4" w:rsidRPr="0057485F" w:rsidRDefault="00EC21C4" w:rsidP="00EC21C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D00A01" w:rsidRPr="00D00A01" w:rsidRDefault="0057485F" w:rsidP="00AA02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AA02F7">
        <w:rPr>
          <w:rFonts w:asciiTheme="majorBidi" w:hAnsiTheme="majorBidi" w:cstheme="majorBidi"/>
          <w:color w:val="333333"/>
          <w:sz w:val="28"/>
          <w:szCs w:val="28"/>
        </w:rPr>
        <w:t>3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If the NSAID must be continued,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implement</w:t>
      </w:r>
      <w:r w:rsidR="00EC21C4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cotherapy with a PPI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or </w:t>
      </w:r>
      <w:r w:rsidR="00D00A01" w:rsidRPr="00D62776">
        <w:rPr>
          <w:rFonts w:asciiTheme="majorBidi" w:hAnsiTheme="majorBidi" w:cstheme="majorBidi"/>
          <w:b/>
          <w:bCs/>
          <w:color w:val="333333"/>
          <w:sz w:val="28"/>
          <w:szCs w:val="28"/>
        </w:rPr>
        <w:t>misoprostol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. Patients at highest risk of recurrent ulcers or ulcer-related complications should be switched </w:t>
      </w:r>
      <w:r w:rsidR="00D00A01" w:rsidRPr="009D7DFD">
        <w:rPr>
          <w:rFonts w:asciiTheme="majorBidi" w:hAnsiTheme="majorBidi" w:cstheme="majorBidi"/>
          <w:b/>
          <w:bCs/>
          <w:color w:val="333333"/>
          <w:sz w:val="28"/>
          <w:szCs w:val="28"/>
        </w:rPr>
        <w:t>to a COX-2</w:t>
      </w:r>
      <w:r w:rsidR="00EC21C4" w:rsidRPr="009D7DF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00A01" w:rsidRPr="009D7DFD">
        <w:rPr>
          <w:rFonts w:asciiTheme="majorBidi" w:hAnsiTheme="majorBidi" w:cstheme="majorBidi"/>
          <w:b/>
          <w:bCs/>
          <w:color w:val="333333"/>
          <w:sz w:val="28"/>
          <w:szCs w:val="28"/>
        </w:rPr>
        <w:t>inhibitor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EC21C4" w:rsidRPr="0057485F" w:rsidRDefault="00EC21C4" w:rsidP="00D00A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D00A01" w:rsidRPr="00D00A01" w:rsidRDefault="0057485F" w:rsidP="00AA02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AA02F7">
        <w:rPr>
          <w:rFonts w:asciiTheme="majorBidi" w:hAnsiTheme="majorBidi" w:cstheme="majorBidi"/>
          <w:color w:val="333333"/>
          <w:sz w:val="28"/>
          <w:szCs w:val="28"/>
        </w:rPr>
        <w:t>4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Limit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maintenance therapy with a PPI or H2RA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to high-risk patients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with ulcer complications, patients who fail H. pylori eradication, and those with</w:t>
      </w:r>
      <w:r w:rsidR="00EC21C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H. pylori-negative ulcers.</w:t>
      </w:r>
    </w:p>
    <w:p w:rsidR="00EC21C4" w:rsidRPr="0057485F" w:rsidRDefault="00EC21C4" w:rsidP="00D00A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9D7DFD" w:rsidRDefault="0057485F" w:rsidP="00AA02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AA02F7">
        <w:rPr>
          <w:rFonts w:asciiTheme="majorBidi" w:hAnsiTheme="majorBidi" w:cstheme="majorBidi"/>
          <w:color w:val="333333"/>
          <w:sz w:val="28"/>
          <w:szCs w:val="28"/>
        </w:rPr>
        <w:t>5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Patients with ulcers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refractory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to treatment should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undergo upper endoscopy to confirm a </w:t>
      </w:r>
      <w:proofErr w:type="spellStart"/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nonhealing</w:t>
      </w:r>
      <w:proofErr w:type="spellEnd"/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ulcer, exclude malignancy, and </w:t>
      </w:r>
      <w:r w:rsidR="00D00A01" w:rsidRPr="009D7DFD">
        <w:rPr>
          <w:rFonts w:asciiTheme="majorBidi" w:hAnsiTheme="majorBidi" w:cstheme="majorBidi"/>
          <w:b/>
          <w:bCs/>
          <w:color w:val="333333"/>
          <w:sz w:val="28"/>
          <w:szCs w:val="28"/>
        </w:rPr>
        <w:t>assess H.</w:t>
      </w:r>
      <w:r w:rsidR="00EC21C4" w:rsidRPr="009D7DF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00A01" w:rsidRPr="009D7DFD">
        <w:rPr>
          <w:rFonts w:asciiTheme="majorBidi" w:hAnsiTheme="majorBidi" w:cstheme="majorBidi"/>
          <w:b/>
          <w:bCs/>
          <w:color w:val="333333"/>
          <w:sz w:val="28"/>
          <w:szCs w:val="28"/>
        </w:rPr>
        <w:t>pylori status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D00A01" w:rsidRPr="00D00A01" w:rsidRDefault="00D00A01" w:rsidP="009D7DF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00A01">
        <w:rPr>
          <w:rFonts w:asciiTheme="majorBidi" w:hAnsiTheme="majorBidi" w:cstheme="majorBidi"/>
          <w:color w:val="333333"/>
          <w:sz w:val="28"/>
          <w:szCs w:val="28"/>
        </w:rPr>
        <w:t>H. pylori-positive patients should receive eradication therapy. Refractory ulcers despite a complete standard PPI course should be</w:t>
      </w:r>
      <w:r w:rsidR="00EC21C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retreated with </w:t>
      </w:r>
      <w:r w:rsidRPr="009D7DFD">
        <w:rPr>
          <w:rFonts w:asciiTheme="majorBidi" w:hAnsiTheme="majorBidi" w:cstheme="majorBidi"/>
          <w:b/>
          <w:bCs/>
          <w:color w:val="333333"/>
          <w:sz w:val="28"/>
          <w:szCs w:val="28"/>
        </w:rPr>
        <w:t>double-dose of PPI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, or consideration can be given to using </w:t>
      </w:r>
      <w:r w:rsidRPr="009D7DFD">
        <w:rPr>
          <w:rFonts w:asciiTheme="majorBidi" w:hAnsiTheme="majorBidi" w:cstheme="majorBidi"/>
          <w:b/>
          <w:bCs/>
          <w:color w:val="333333"/>
          <w:sz w:val="28"/>
          <w:szCs w:val="28"/>
        </w:rPr>
        <w:t>a different PPI</w:t>
      </w:r>
      <w:r w:rsidRPr="00D00A01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D00A01" w:rsidRPr="0057485F" w:rsidRDefault="00D00A01" w:rsidP="00D00A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45125D" w:rsidRPr="00022299" w:rsidRDefault="00022299" w:rsidP="00AD49DB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E</w:t>
      </w:r>
      <w:r w:rsidRPr="00022299">
        <w:rPr>
          <w:rFonts w:asciiTheme="majorBidi" w:hAnsiTheme="majorBidi" w:cstheme="majorBidi"/>
          <w:b/>
          <w:bCs/>
          <w:color w:val="0000FF"/>
          <w:sz w:val="32"/>
          <w:szCs w:val="32"/>
        </w:rPr>
        <w:t>valuation of therapeutic outcomes</w:t>
      </w:r>
    </w:p>
    <w:p w:rsidR="00B527DA" w:rsidRDefault="0057485F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D00A0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>Monitor patients for symptomatic relief of ulcer pain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, potential adverse drug effects, and drug interactions.</w:t>
      </w:r>
    </w:p>
    <w:p w:rsidR="0002001A" w:rsidRPr="00B268BE" w:rsidRDefault="0002001A" w:rsidP="00D00A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00A01" w:rsidRPr="00D00A01" w:rsidRDefault="0057485F" w:rsidP="00020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D00A0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>Ulcer pain typically resolves in a few days when NSAIDs are discontinued and within 7 days upon initiation of antiulcer therapy.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Patients with</w:t>
      </w:r>
      <w:r w:rsidR="0002001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uncomplicated PUD are usually symptom free after treatment with any of the recommended antiulcer regimens.</w:t>
      </w:r>
    </w:p>
    <w:p w:rsidR="0002001A" w:rsidRPr="0057485F" w:rsidRDefault="0002001A" w:rsidP="00D00A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D00A01" w:rsidRPr="00D00A01" w:rsidRDefault="0057485F" w:rsidP="00020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D00A01" w:rsidRPr="0057485F">
        <w:rPr>
          <w:rFonts w:asciiTheme="majorBidi" w:hAnsiTheme="majorBidi" w:cstheme="majorBidi"/>
          <w:b/>
          <w:bCs/>
          <w:color w:val="333333"/>
          <w:sz w:val="28"/>
          <w:szCs w:val="28"/>
        </w:rPr>
        <w:t>Persistent or recurrent symptoms within 14 days after the end of treatment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suggests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failure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of ulcer healing or H. pylori eradication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or presence of</w:t>
      </w:r>
      <w:r w:rsidR="0002001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an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alternative diagnosis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such as </w:t>
      </w:r>
      <w:proofErr w:type="spellStart"/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>gastroesophageal</w:t>
      </w:r>
      <w:proofErr w:type="spellEnd"/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reflux disease.</w:t>
      </w:r>
    </w:p>
    <w:p w:rsidR="0002001A" w:rsidRPr="0057485F" w:rsidRDefault="0002001A" w:rsidP="00D00A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D00A01" w:rsidRDefault="0057485F" w:rsidP="00020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Eradication of H. pylori should be confirmed </w:t>
      </w:r>
      <w:r w:rsidR="00D00A01" w:rsidRPr="00806682">
        <w:rPr>
          <w:rFonts w:asciiTheme="majorBidi" w:hAnsiTheme="majorBidi" w:cstheme="majorBidi"/>
          <w:b/>
          <w:bCs/>
          <w:color w:val="333333"/>
          <w:sz w:val="28"/>
          <w:szCs w:val="28"/>
        </w:rPr>
        <w:t>after treatment</w:t>
      </w:r>
      <w:r w:rsidR="00D00A01" w:rsidRPr="00D00A01">
        <w:rPr>
          <w:rFonts w:asciiTheme="majorBidi" w:hAnsiTheme="majorBidi" w:cstheme="majorBidi"/>
          <w:color w:val="333333"/>
          <w:sz w:val="28"/>
          <w:szCs w:val="28"/>
        </w:rPr>
        <w:t xml:space="preserve"> in all patients, particularly those who are at risk for complications.</w:t>
      </w:r>
    </w:p>
    <w:p w:rsidR="00AA02F7" w:rsidRPr="00D00A01" w:rsidRDefault="00AA02F7" w:rsidP="00AA02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57485F" w:rsidRPr="0057485F" w:rsidRDefault="0057485F" w:rsidP="00D00A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B527DA" w:rsidRPr="00AA02F7" w:rsidRDefault="00B527DA" w:rsidP="00AA02F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AA02F7">
        <w:rPr>
          <w:rFonts w:asciiTheme="majorBidi" w:hAnsiTheme="majorBidi" w:cstheme="majorBidi"/>
          <w:b/>
          <w:bCs/>
          <w:color w:val="FF0000"/>
          <w:sz w:val="28"/>
          <w:szCs w:val="28"/>
        </w:rPr>
        <w:t>Reference</w:t>
      </w:r>
      <w:r w:rsidR="00035E81" w:rsidRPr="00AA02F7">
        <w:rPr>
          <w:rFonts w:asciiTheme="majorBidi" w:hAnsiTheme="majorBidi" w:cstheme="majorBidi"/>
          <w:color w:val="333333"/>
          <w:sz w:val="28"/>
          <w:szCs w:val="28"/>
        </w:rPr>
        <w:t xml:space="preserve">: </w:t>
      </w:r>
      <w:bookmarkStart w:id="0" w:name="_GoBack"/>
      <w:r w:rsidR="00AA02F7">
        <w:rPr>
          <w:rFonts w:asciiTheme="majorBidi" w:hAnsiTheme="majorBidi" w:cstheme="majorBidi"/>
          <w:b/>
          <w:bCs/>
          <w:color w:val="333333"/>
          <w:sz w:val="28"/>
          <w:szCs w:val="28"/>
        </w:rPr>
        <w:t>J</w:t>
      </w:r>
      <w:r w:rsidR="00AA02F7" w:rsidRPr="00AA02F7">
        <w:rPr>
          <w:rFonts w:asciiTheme="majorBidi" w:hAnsiTheme="majorBidi" w:cstheme="majorBidi"/>
          <w:b/>
          <w:bCs/>
          <w:color w:val="333333"/>
          <w:sz w:val="28"/>
          <w:szCs w:val="28"/>
        </w:rPr>
        <w:t>oseph</w:t>
      </w:r>
      <w:r w:rsidRPr="00AA02F7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T. DiPiro, Robert L. Pharmacotherapy: A Pathophysiologic Approach,</w:t>
      </w:r>
      <w:r w:rsidR="00B268BE" w:rsidRPr="00AA02F7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AA02F7">
        <w:rPr>
          <w:rFonts w:asciiTheme="majorBidi" w:hAnsiTheme="majorBidi" w:cstheme="majorBidi"/>
          <w:b/>
          <w:bCs/>
          <w:color w:val="333333"/>
          <w:sz w:val="28"/>
          <w:szCs w:val="28"/>
        </w:rPr>
        <w:t>1</w:t>
      </w:r>
      <w:r w:rsidR="00AA02F7">
        <w:rPr>
          <w:rFonts w:asciiTheme="majorBidi" w:hAnsiTheme="majorBidi" w:cstheme="majorBidi"/>
          <w:b/>
          <w:bCs/>
          <w:color w:val="333333"/>
          <w:sz w:val="28"/>
          <w:szCs w:val="28"/>
        </w:rPr>
        <w:t>2</w:t>
      </w:r>
      <w:r w:rsidRPr="00AA02F7">
        <w:rPr>
          <w:rFonts w:asciiTheme="majorBidi" w:hAnsiTheme="majorBidi" w:cstheme="majorBidi"/>
          <w:b/>
          <w:bCs/>
          <w:color w:val="333333"/>
          <w:sz w:val="28"/>
          <w:szCs w:val="28"/>
          <w:vertAlign w:val="superscript"/>
        </w:rPr>
        <w:t>th</w:t>
      </w:r>
      <w:r w:rsidRPr="00AA02F7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Edition. 202</w:t>
      </w:r>
      <w:r w:rsidR="00AA02F7">
        <w:rPr>
          <w:rFonts w:asciiTheme="majorBidi" w:hAnsiTheme="majorBidi" w:cstheme="majorBidi"/>
          <w:b/>
          <w:bCs/>
          <w:color w:val="333333"/>
          <w:sz w:val="28"/>
          <w:szCs w:val="28"/>
        </w:rPr>
        <w:t>3</w:t>
      </w:r>
      <w:r w:rsidRPr="00AA02F7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  <w:bookmarkEnd w:id="0"/>
    </w:p>
    <w:sectPr w:rsidR="00B527DA" w:rsidRPr="00AA02F7" w:rsidSect="00B268BE">
      <w:footerReference w:type="default" r:id="rId11"/>
      <w:pgSz w:w="11906" w:h="16838"/>
      <w:pgMar w:top="426" w:right="707" w:bottom="851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68" w:rsidRDefault="00761B68" w:rsidP="009C79FE">
      <w:pPr>
        <w:spacing w:after="0" w:line="240" w:lineRule="auto"/>
      </w:pPr>
      <w:r>
        <w:separator/>
      </w:r>
    </w:p>
  </w:endnote>
  <w:endnote w:type="continuationSeparator" w:id="0">
    <w:p w:rsidR="00761B68" w:rsidRDefault="00761B68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6CE" w:rsidRDefault="00074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2F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0746CE" w:rsidRDefault="00074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68" w:rsidRDefault="00761B68" w:rsidP="009C79FE">
      <w:pPr>
        <w:spacing w:after="0" w:line="240" w:lineRule="auto"/>
      </w:pPr>
      <w:r>
        <w:separator/>
      </w:r>
    </w:p>
  </w:footnote>
  <w:footnote w:type="continuationSeparator" w:id="0">
    <w:p w:rsidR="00761B68" w:rsidRDefault="00761B68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1"/>
    <w:rsid w:val="0002001A"/>
    <w:rsid w:val="00022299"/>
    <w:rsid w:val="00035E81"/>
    <w:rsid w:val="00057C81"/>
    <w:rsid w:val="000746CE"/>
    <w:rsid w:val="00085EC1"/>
    <w:rsid w:val="000A39DD"/>
    <w:rsid w:val="000D6AAF"/>
    <w:rsid w:val="000F5D8E"/>
    <w:rsid w:val="00126BAA"/>
    <w:rsid w:val="00136068"/>
    <w:rsid w:val="001369C1"/>
    <w:rsid w:val="001467B2"/>
    <w:rsid w:val="0018108D"/>
    <w:rsid w:val="001835C9"/>
    <w:rsid w:val="001A0CEA"/>
    <w:rsid w:val="001A4491"/>
    <w:rsid w:val="001C7900"/>
    <w:rsid w:val="001E6AD2"/>
    <w:rsid w:val="001F3F9F"/>
    <w:rsid w:val="00202D23"/>
    <w:rsid w:val="0023109D"/>
    <w:rsid w:val="00240FC2"/>
    <w:rsid w:val="00293D7B"/>
    <w:rsid w:val="002A56DF"/>
    <w:rsid w:val="002F42C5"/>
    <w:rsid w:val="00307E17"/>
    <w:rsid w:val="00324617"/>
    <w:rsid w:val="00324E72"/>
    <w:rsid w:val="003310D9"/>
    <w:rsid w:val="00337A94"/>
    <w:rsid w:val="00347D77"/>
    <w:rsid w:val="0037581B"/>
    <w:rsid w:val="00394517"/>
    <w:rsid w:val="003C1E95"/>
    <w:rsid w:val="003D563D"/>
    <w:rsid w:val="003F1A57"/>
    <w:rsid w:val="003F21B7"/>
    <w:rsid w:val="003F5F6F"/>
    <w:rsid w:val="003F7B07"/>
    <w:rsid w:val="0040493A"/>
    <w:rsid w:val="00405882"/>
    <w:rsid w:val="00420C39"/>
    <w:rsid w:val="00423E59"/>
    <w:rsid w:val="00430B69"/>
    <w:rsid w:val="00432419"/>
    <w:rsid w:val="0045071B"/>
    <w:rsid w:val="0045125D"/>
    <w:rsid w:val="0047187F"/>
    <w:rsid w:val="004722A3"/>
    <w:rsid w:val="004752B9"/>
    <w:rsid w:val="0048401C"/>
    <w:rsid w:val="00487060"/>
    <w:rsid w:val="004A73A6"/>
    <w:rsid w:val="004B2945"/>
    <w:rsid w:val="004B6F1E"/>
    <w:rsid w:val="004C22AE"/>
    <w:rsid w:val="004E1DCC"/>
    <w:rsid w:val="00516926"/>
    <w:rsid w:val="005627C5"/>
    <w:rsid w:val="0057485F"/>
    <w:rsid w:val="00583888"/>
    <w:rsid w:val="005C3F80"/>
    <w:rsid w:val="005D1A07"/>
    <w:rsid w:val="005D3E7B"/>
    <w:rsid w:val="0063410E"/>
    <w:rsid w:val="0065062A"/>
    <w:rsid w:val="00653546"/>
    <w:rsid w:val="00655FED"/>
    <w:rsid w:val="00660CED"/>
    <w:rsid w:val="00690A20"/>
    <w:rsid w:val="006D0591"/>
    <w:rsid w:val="00701BAE"/>
    <w:rsid w:val="00721505"/>
    <w:rsid w:val="007404A7"/>
    <w:rsid w:val="00741490"/>
    <w:rsid w:val="00747F03"/>
    <w:rsid w:val="00761A5B"/>
    <w:rsid w:val="00761B68"/>
    <w:rsid w:val="007621C3"/>
    <w:rsid w:val="00773A31"/>
    <w:rsid w:val="00797AC2"/>
    <w:rsid w:val="007A0A8A"/>
    <w:rsid w:val="007B6004"/>
    <w:rsid w:val="007E68A8"/>
    <w:rsid w:val="007F19A1"/>
    <w:rsid w:val="00804049"/>
    <w:rsid w:val="00804825"/>
    <w:rsid w:val="00806682"/>
    <w:rsid w:val="008B4BC1"/>
    <w:rsid w:val="008D2536"/>
    <w:rsid w:val="008D5E15"/>
    <w:rsid w:val="008D7966"/>
    <w:rsid w:val="008E2840"/>
    <w:rsid w:val="008E28D7"/>
    <w:rsid w:val="00914F52"/>
    <w:rsid w:val="00926008"/>
    <w:rsid w:val="009608D6"/>
    <w:rsid w:val="00987645"/>
    <w:rsid w:val="009A10B9"/>
    <w:rsid w:val="009B0D47"/>
    <w:rsid w:val="009B224B"/>
    <w:rsid w:val="009C4A90"/>
    <w:rsid w:val="009C4D71"/>
    <w:rsid w:val="009C79FE"/>
    <w:rsid w:val="009D31BD"/>
    <w:rsid w:val="009D7DFD"/>
    <w:rsid w:val="009E60CC"/>
    <w:rsid w:val="00A07CCC"/>
    <w:rsid w:val="00A26085"/>
    <w:rsid w:val="00A4401F"/>
    <w:rsid w:val="00A5155A"/>
    <w:rsid w:val="00A532FE"/>
    <w:rsid w:val="00A7467E"/>
    <w:rsid w:val="00A7600B"/>
    <w:rsid w:val="00A8009A"/>
    <w:rsid w:val="00A83FB6"/>
    <w:rsid w:val="00A966DA"/>
    <w:rsid w:val="00A969AE"/>
    <w:rsid w:val="00AA02F7"/>
    <w:rsid w:val="00AB66BE"/>
    <w:rsid w:val="00AD10F0"/>
    <w:rsid w:val="00AD3BD4"/>
    <w:rsid w:val="00AD49DB"/>
    <w:rsid w:val="00AD761C"/>
    <w:rsid w:val="00AE1E84"/>
    <w:rsid w:val="00AF560B"/>
    <w:rsid w:val="00B17CB0"/>
    <w:rsid w:val="00B268BE"/>
    <w:rsid w:val="00B503F7"/>
    <w:rsid w:val="00B527DA"/>
    <w:rsid w:val="00B75789"/>
    <w:rsid w:val="00B834B0"/>
    <w:rsid w:val="00B94318"/>
    <w:rsid w:val="00BD2826"/>
    <w:rsid w:val="00BD54DB"/>
    <w:rsid w:val="00BD69C4"/>
    <w:rsid w:val="00BE6797"/>
    <w:rsid w:val="00BF062B"/>
    <w:rsid w:val="00C21D72"/>
    <w:rsid w:val="00C2374F"/>
    <w:rsid w:val="00C3347D"/>
    <w:rsid w:val="00C35779"/>
    <w:rsid w:val="00C56E94"/>
    <w:rsid w:val="00C75F21"/>
    <w:rsid w:val="00CB0602"/>
    <w:rsid w:val="00CD0420"/>
    <w:rsid w:val="00D00A01"/>
    <w:rsid w:val="00D06001"/>
    <w:rsid w:val="00D06DBA"/>
    <w:rsid w:val="00D16FD5"/>
    <w:rsid w:val="00D35FDB"/>
    <w:rsid w:val="00D4331A"/>
    <w:rsid w:val="00D62776"/>
    <w:rsid w:val="00D85713"/>
    <w:rsid w:val="00D9741A"/>
    <w:rsid w:val="00DA6BB8"/>
    <w:rsid w:val="00DD24DE"/>
    <w:rsid w:val="00DD3B5C"/>
    <w:rsid w:val="00DD3E17"/>
    <w:rsid w:val="00DD4C24"/>
    <w:rsid w:val="00E0566E"/>
    <w:rsid w:val="00E05705"/>
    <w:rsid w:val="00E26382"/>
    <w:rsid w:val="00E407F9"/>
    <w:rsid w:val="00E67F14"/>
    <w:rsid w:val="00E7219D"/>
    <w:rsid w:val="00E90342"/>
    <w:rsid w:val="00EA27D9"/>
    <w:rsid w:val="00EA3500"/>
    <w:rsid w:val="00EB0B76"/>
    <w:rsid w:val="00EB1305"/>
    <w:rsid w:val="00EC21C4"/>
    <w:rsid w:val="00EF71B5"/>
    <w:rsid w:val="00EF74C6"/>
    <w:rsid w:val="00F00195"/>
    <w:rsid w:val="00F0769C"/>
    <w:rsid w:val="00F27D50"/>
    <w:rsid w:val="00F41171"/>
    <w:rsid w:val="00F51847"/>
    <w:rsid w:val="00F73EC3"/>
    <w:rsid w:val="00FA2811"/>
    <w:rsid w:val="00FC7499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4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6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4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6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FB84-49F1-4FF8-9DB5-D7C43BA4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45</cp:revision>
  <dcterms:created xsi:type="dcterms:W3CDTF">2020-05-04T12:27:00Z</dcterms:created>
  <dcterms:modified xsi:type="dcterms:W3CDTF">2023-08-12T20:48:00Z</dcterms:modified>
</cp:coreProperties>
</file>